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ab/>
        <w:tab/>
        <w:tab/>
        <w:tab/>
        <w:tab/>
        <w:tab/>
        <w:t xml:space="preserve">                   УТВЕРЖДЕН</w:t>
      </w:r>
    </w:p>
    <w:p>
      <w:pPr>
        <w:pStyle w:val="Normal"/>
        <w:rPr/>
      </w:pPr>
      <w:r>
        <w:rPr/>
        <w:tab/>
        <w:tab/>
        <w:tab/>
        <w:tab/>
        <w:tab/>
        <w:tab/>
        <w:t xml:space="preserve">                   Распоряжением председателя</w:t>
      </w:r>
    </w:p>
    <w:p>
      <w:pPr>
        <w:pStyle w:val="Normal"/>
        <w:rPr/>
      </w:pPr>
      <w:r>
        <w:rPr/>
        <w:t xml:space="preserve">                                                                                          </w:t>
      </w:r>
      <w:r>
        <w:rPr/>
        <w:t xml:space="preserve">Контрольно-счётной палаты </w:t>
      </w:r>
    </w:p>
    <w:p>
      <w:pPr>
        <w:pStyle w:val="Normal"/>
        <w:rPr/>
      </w:pPr>
      <w:r>
        <w:rPr/>
        <w:t xml:space="preserve">                                                                                          </w:t>
      </w:r>
      <w:r>
        <w:rPr/>
        <w:t>муниципального образования</w:t>
      </w:r>
    </w:p>
    <w:p>
      <w:pPr>
        <w:pStyle w:val="Normal"/>
        <w:rPr/>
      </w:pPr>
      <w:r>
        <w:rPr/>
        <w:t xml:space="preserve">                                                                                          </w:t>
      </w:r>
      <w:r>
        <w:rPr/>
        <w:t>«Тулунский район»</w:t>
      </w:r>
    </w:p>
    <w:p>
      <w:pPr>
        <w:pStyle w:val="Normal"/>
        <w:rPr/>
      </w:pPr>
      <w:r>
        <w:rPr/>
        <w:t xml:space="preserve">                                                                                          </w:t>
      </w:r>
      <w:r>
        <w:rPr/>
        <w:t>от 22.05.2023г.  № 07-од</w:t>
      </w:r>
    </w:p>
    <w:p>
      <w:pPr>
        <w:pStyle w:val="Normal"/>
        <w:rPr/>
      </w:pPr>
      <w:r>
        <w:rPr/>
        <w:tab/>
        <w:tab/>
      </w:r>
    </w:p>
    <w:p>
      <w:pPr>
        <w:pStyle w:val="Normal"/>
        <w:jc w:val="center"/>
        <w:rPr>
          <w:sz w:val="26"/>
          <w:szCs w:val="26"/>
        </w:rPr>
      </w:pPr>
      <w:r>
        <w:rPr>
          <w:b/>
          <w:sz w:val="26"/>
          <w:szCs w:val="26"/>
        </w:rPr>
        <w:t>ИЗМЕНЕНИЕ</w:t>
      </w:r>
    </w:p>
    <w:p>
      <w:pPr>
        <w:pStyle w:val="Normal"/>
        <w:jc w:val="center"/>
        <w:rPr>
          <w:sz w:val="26"/>
          <w:szCs w:val="26"/>
        </w:rPr>
      </w:pPr>
      <w:r>
        <w:rPr>
          <w:b/>
          <w:sz w:val="26"/>
          <w:szCs w:val="26"/>
        </w:rPr>
        <w:t>К ПЛАНУ  ДЕЯТЕЛЬНОСТИ</w:t>
      </w:r>
    </w:p>
    <w:p>
      <w:pPr>
        <w:pStyle w:val="Normal"/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КОНТРОЛЬНО-СЧЕТНОЙ ПАЛАТЫ МУНИЦИПАЛЬНОГО </w:t>
      </w:r>
    </w:p>
    <w:p>
      <w:pPr>
        <w:pStyle w:val="Normal"/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ОБРАЗОВАНИЯ «ТУЛУНСКИЙ РАЙОН» НА </w:t>
      </w:r>
      <w:r>
        <w:rPr>
          <w:b/>
          <w:sz w:val="26"/>
          <w:szCs w:val="26"/>
          <w:lang w:val="en-US"/>
        </w:rPr>
        <w:t>I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ПОЛУГОДИЕ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2023</w:t>
      </w:r>
      <w:r>
        <w:rPr>
          <w:b/>
          <w:sz w:val="26"/>
          <w:szCs w:val="26"/>
        </w:rPr>
        <w:t>г.</w:t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</w:r>
    </w:p>
    <w:tbl>
      <w:tblPr>
        <w:tblW w:w="10080" w:type="dxa"/>
        <w:jc w:val="left"/>
        <w:tblInd w:w="-268" w:type="dxa"/>
        <w:tblLayout w:type="fixed"/>
        <w:tblCellMar>
          <w:top w:w="0" w:type="dxa"/>
          <w:left w:w="88" w:type="dxa"/>
          <w:bottom w:w="0" w:type="dxa"/>
          <w:right w:w="108" w:type="dxa"/>
        </w:tblCellMar>
        <w:tblLook w:val="01e0"/>
      </w:tblPr>
      <w:tblGrid>
        <w:gridCol w:w="540"/>
        <w:gridCol w:w="5040"/>
        <w:gridCol w:w="2151"/>
        <w:gridCol w:w="2348"/>
      </w:tblGrid>
      <w:tr>
        <w:trPr/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5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2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исполнители</w:t>
            </w:r>
          </w:p>
        </w:tc>
      </w:tr>
      <w:tr>
        <w:trPr>
          <w:trHeight w:val="120" w:hRule="atLeast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Контрольная деятельность КСП</w:t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620" w:leader="none"/>
              </w:tabs>
              <w:spacing w:lineRule="auto" w:line="2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</w:t>
            </w:r>
            <w:r>
              <w:rPr>
                <w:color w:val="000000"/>
                <w:sz w:val="24"/>
                <w:szCs w:val="24"/>
              </w:rPr>
              <w:t xml:space="preserve">финансово-экономической </w:t>
            </w:r>
            <w:r>
              <w:rPr>
                <w:sz w:val="24"/>
                <w:szCs w:val="24"/>
              </w:rPr>
              <w:t>деятельности МУСХП «Центральное»  за 2022 год и истекший период 2023 года.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620" w:leader="none"/>
              </w:tabs>
              <w:spacing w:lineRule="auto" w:line="2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620" w:leader="none"/>
              </w:tabs>
              <w:spacing w:lineRule="auto" w:line="24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  <w:u w:val="none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  <w:u w:val="none"/>
              </w:rPr>
              <w:t>Проверка соблюдения бюджетного законодательства при составлении, утверждении и исполнении бюджета Икейского сельского поселения за 2022 год и  истекший период 2023 года, проверка выполнения Федеральных законов от 25.12.2008г. №273-ФЗ «О противодействии коррупции» и от 05.04.2013г. №44-ФЗ «О контрактной системе в сфере закупок товаров, работ, услуг для обеспечения государственных и муниципальных нужд».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620" w:leader="none"/>
              </w:tabs>
              <w:spacing w:lineRule="auto" w:line="24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sz w:val="24"/>
                <w:szCs w:val="24"/>
                <w:u w:val="none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620" w:leader="none"/>
              </w:tabs>
              <w:spacing w:lineRule="auto" w:line="2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Организационно-методическая и отчетная деятельность КСП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620" w:leader="none"/>
              </w:tabs>
              <w:spacing w:lineRule="auto" w:line="240"/>
              <w:jc w:val="both"/>
              <w:rPr>
                <w:rFonts w:ascii="Times New Roman" w:hAnsi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620" w:leader="none"/>
              </w:tabs>
              <w:spacing w:lineRule="auto" w:line="2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  <w:u w:val="none"/>
              </w:rPr>
              <w:t xml:space="preserve">Подготовка отчета по итогам проверки </w:t>
            </w:r>
            <w:r>
              <w:rPr>
                <w:b w:val="false"/>
                <w:bCs w:val="false"/>
                <w:color w:val="000000"/>
                <w:sz w:val="24"/>
                <w:szCs w:val="24"/>
                <w:u w:val="none"/>
              </w:rPr>
              <w:t xml:space="preserve">финансово-экономической </w:t>
            </w:r>
            <w:r>
              <w:rPr>
                <w:b w:val="false"/>
                <w:bCs w:val="false"/>
                <w:sz w:val="24"/>
                <w:szCs w:val="24"/>
                <w:u w:val="none"/>
              </w:rPr>
              <w:t>деятельности МУСХП «Центральное» за 2022 год и истекший период 2023 года в соответствии со стандартом муниципального финансового контроля «Общие правила проведения контрольного мероприятия».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620" w:leader="none"/>
              </w:tabs>
              <w:spacing w:lineRule="auto" w:line="24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sz w:val="24"/>
                <w:szCs w:val="24"/>
                <w:u w:val="none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620" w:leader="none"/>
              </w:tabs>
              <w:spacing w:lineRule="auto" w:line="240"/>
              <w:jc w:val="both"/>
              <w:rPr/>
            </w:pPr>
            <w:r>
              <w:rPr>
                <w:rStyle w:val="FontStyle20"/>
                <w:rFonts w:eastAsia="Liberation Serif;Times New Roman" w:cs="Times New Roman"/>
                <w:b w:val="false"/>
                <w:bCs w:val="false"/>
                <w:color w:val="000000"/>
                <w:sz w:val="24"/>
                <w:szCs w:val="24"/>
                <w:highlight w:val="white"/>
                <w:u w:val="none"/>
              </w:rPr>
              <w:t>Подготовка отчета по итогам проверки соблюдения бюджетного законодательства при составлении, утверждении и исполнении бюджета  Икейского  сельского поселения за 2022 год и истекший период 2023 года в соответствии с п. 7.6 стандарта внешнего муниципального финансового контроля «Общие правила проведения контрольного мероприятия» (утвержден распоряжением председателя КСП МО «Тулунскй район» от 05.10..2021г. № 06-од).</w:t>
            </w:r>
          </w:p>
        </w:tc>
        <w:tc>
          <w:tcPr>
            <w:tcW w:w="2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Исключить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Включить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Исключить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Включить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Федорова Л.А.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Кузнецова О.А.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Васильева Е.И.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Кузнецова О.А.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rPr/>
      </w:pPr>
      <w:r>
        <w:rPr/>
      </w:r>
    </w:p>
    <w:sectPr>
      <w:footerReference w:type="default" r:id="rId2"/>
      <w:type w:val="nextPage"/>
      <w:pgSz w:w="11906" w:h="16838"/>
      <w:pgMar w:left="1134" w:right="1134" w:gutter="0" w:header="0" w:top="283" w:footer="283" w:bottom="595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tabs>
        <w:tab w:val="center" w:pos="4677" w:leader="none"/>
        <w:tab w:val="left" w:pos="7103" w:leader="none"/>
        <w:tab w:val="right" w:pos="9355" w:leader="none"/>
      </w:tabs>
      <w:ind w:right="360" w:hanging="0"/>
      <w:rPr/>
    </w:pPr>
    <w:r>
      <mc:AlternateContent>
        <mc:Choice Requires="wps">
          <w:drawing>
            <wp:anchor behindDoc="1" distT="0" distB="0" distL="0" distR="0" simplePos="0" locked="0" layoutInCell="0" allowOverlap="1" relativeHeight="4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9050" cy="174625"/>
              <wp:effectExtent l="0" t="0" r="0" b="0"/>
              <wp:wrapSquare wrapText="largest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360" cy="173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1"/>
                            <w:rPr>
                              <w:rStyle w:val="Pagenumber"/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</w:r>
                        </w:p>
                      </w:txbxContent>
                    </wps:txbx>
                    <wps:bodyPr lIns="0" rIns="0" t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1" path="m0,0l-2147483645,0l-2147483645,-2147483646l0,-2147483646xe" stroked="f" o:allowincell="f" style="position:absolute;margin-left:480.4pt;margin-top:0.05pt;width:1.4pt;height:13.65pt;mso-wrap-style:none;v-text-anchor:middle;mso-position-horizontal:right;mso-position-horizontal-relative:margin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1"/>
                      <w:rPr>
                        <w:rStyle w:val="Pagenumber"/>
                        <w:color w:val="000000"/>
                      </w:rPr>
                    </w:pPr>
                    <w:r>
                      <w:rPr>
                        <w:color w:val="000000"/>
                      </w:rPr>
                    </w:r>
                  </w:p>
                </w:txbxContent>
              </v:textbox>
              <w10:wrap type="square" side="largest"/>
            </v:rect>
          </w:pict>
        </mc:Fallback>
      </mc:AlternateContent>
    </w:r>
    <w:r>
      <w:rPr/>
      <w:tab/>
    </w:r>
  </w:p>
</w:ft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ab51a9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sid w:val="004d6923"/>
    <w:rPr/>
  </w:style>
  <w:style w:type="character" w:styleId="Style14" w:customStyle="1">
    <w:name w:val="Верхний колонтитул Знак"/>
    <w:basedOn w:val="DefaultParagraphFont"/>
    <w:link w:val="a8"/>
    <w:qFormat/>
    <w:rsid w:val="008869d8"/>
    <w:rPr>
      <w:sz w:val="24"/>
      <w:szCs w:val="24"/>
    </w:rPr>
  </w:style>
  <w:style w:type="character" w:styleId="FontStyle20">
    <w:name w:val="Font Style20"/>
    <w:basedOn w:val="DefaultParagraphFont"/>
    <w:qFormat/>
    <w:rPr>
      <w:rFonts w:ascii="Times New Roman" w:hAnsi="Times New Roman" w:cs="Times New Roman"/>
      <w:sz w:val="24"/>
      <w:szCs w:val="24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semiHidden/>
    <w:qFormat/>
    <w:rsid w:val="00bc12e3"/>
    <w:pPr/>
    <w:rPr>
      <w:rFonts w:ascii="Tahoma" w:hAnsi="Tahoma" w:cs="Tahoma"/>
      <w:sz w:val="16"/>
      <w:szCs w:val="16"/>
    </w:rPr>
  </w:style>
  <w:style w:type="paragraph" w:styleId="Style20">
    <w:name w:val="Колонтитул"/>
    <w:basedOn w:val="Normal"/>
    <w:qFormat/>
    <w:pPr/>
    <w:rPr/>
  </w:style>
  <w:style w:type="paragraph" w:styleId="Style21">
    <w:name w:val="Footer"/>
    <w:basedOn w:val="Normal"/>
    <w:rsid w:val="004d6923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ConsPlusNonformat" w:customStyle="1">
    <w:name w:val="ConsPlusNonformat"/>
    <w:qFormat/>
    <w:rsid w:val="000b21b0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00000A"/>
      <w:kern w:val="0"/>
      <w:sz w:val="24"/>
      <w:szCs w:val="20"/>
      <w:lang w:val="ru-RU" w:eastAsia="ru-RU" w:bidi="ar-SA"/>
    </w:rPr>
  </w:style>
  <w:style w:type="paragraph" w:styleId="NoSpacing">
    <w:name w:val="No Spacing"/>
    <w:uiPriority w:val="1"/>
    <w:qFormat/>
    <w:rsid w:val="00367506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paragraph" w:styleId="Style22">
    <w:name w:val="Header"/>
    <w:basedOn w:val="Normal"/>
    <w:link w:val="a9"/>
    <w:rsid w:val="008869d8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3">
    <w:name w:val="Содержимое врезки"/>
    <w:basedOn w:val="Normal"/>
    <w:qFormat/>
    <w:pPr/>
    <w:rPr/>
  </w:style>
  <w:style w:type="paragraph" w:styleId="Style91">
    <w:name w:val="Style9"/>
    <w:basedOn w:val="Normal"/>
    <w:qFormat/>
    <w:pPr>
      <w:widowControl w:val="false"/>
      <w:spacing w:lineRule="exact" w:line="298" w:before="0" w:after="0"/>
      <w:ind w:firstLine="547"/>
      <w:jc w:val="both"/>
    </w:pPr>
    <w:rPr>
      <w:rFonts w:ascii="Times New Roman" w:hAnsi="Times New Roman" w:eastAsia="" w:cs="Times New Roman" w:eastAsiaTheme="minorEastAsia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8363f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86E78-792A-4681-9DE5-3A7AEFC88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Application>LibreOffice/7.2.5.2$Windows_X86_64 LibreOffice_project/499f9727c189e6ef3471021d6132d4c694f357e5</Application>
  <AppVersion>15.0000</AppVersion>
  <Pages>2</Pages>
  <Words>203</Words>
  <Characters>1502</Characters>
  <CharactersWithSpaces>2091</CharactersWithSpaces>
  <Paragraphs>37</Paragraphs>
  <Company>z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2017-12-05T07:27:00Z</dcterms:created>
  <dc:creator>LORA</dc:creator>
  <dc:description/>
  <dc:language>ru-RU</dc:language>
  <cp:lastModifiedBy/>
  <cp:lastPrinted>2023-05-19T15:58:35Z</cp:lastPrinted>
  <dcterms:modified xsi:type="dcterms:W3CDTF">2023-05-19T15:59:03Z</dcterms:modified>
  <cp:revision>31</cp:revision>
  <dc:subject/>
  <dc:title>Объем сточных вод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